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7C" w:rsidRPr="0067597C" w:rsidRDefault="0067597C" w:rsidP="0067597C">
      <w:pPr>
        <w:pStyle w:val="berschrift2"/>
        <w:spacing w:before="0" w:after="0"/>
        <w:rPr>
          <w:b w:val="0"/>
          <w:i w:val="0"/>
          <w:sz w:val="22"/>
          <w:szCs w:val="22"/>
        </w:rPr>
      </w:pPr>
      <w:bookmarkStart w:id="0" w:name="_GoBack"/>
      <w:r w:rsidRPr="0067597C">
        <w:rPr>
          <w:b w:val="0"/>
          <w:i w:val="0"/>
          <w:sz w:val="22"/>
          <w:szCs w:val="22"/>
        </w:rPr>
        <w:t>Konsistorium</w:t>
      </w:r>
      <w:r w:rsidRPr="0067597C">
        <w:rPr>
          <w:b w:val="0"/>
          <w:i w:val="0"/>
          <w:sz w:val="22"/>
          <w:szCs w:val="22"/>
        </w:rPr>
        <w:tab/>
      </w:r>
      <w:r w:rsidRPr="0067597C">
        <w:rPr>
          <w:b w:val="0"/>
          <w:i w:val="0"/>
          <w:sz w:val="22"/>
          <w:szCs w:val="22"/>
        </w:rPr>
        <w:tab/>
      </w:r>
      <w:r w:rsidRPr="0067597C">
        <w:rPr>
          <w:b w:val="0"/>
          <w:i w:val="0"/>
          <w:sz w:val="22"/>
          <w:szCs w:val="22"/>
        </w:rPr>
        <w:tab/>
      </w:r>
      <w:r w:rsidRPr="0067597C">
        <w:rPr>
          <w:b w:val="0"/>
          <w:i w:val="0"/>
          <w:sz w:val="22"/>
          <w:szCs w:val="22"/>
        </w:rPr>
        <w:tab/>
      </w:r>
      <w:r w:rsidRPr="0067597C">
        <w:rPr>
          <w:b w:val="0"/>
          <w:i w:val="0"/>
          <w:sz w:val="22"/>
          <w:szCs w:val="22"/>
        </w:rPr>
        <w:tab/>
      </w:r>
      <w:r w:rsidRPr="0067597C">
        <w:rPr>
          <w:b w:val="0"/>
          <w:i w:val="0"/>
          <w:sz w:val="22"/>
          <w:szCs w:val="22"/>
        </w:rPr>
        <w:tab/>
      </w:r>
      <w:r w:rsidRPr="0067597C">
        <w:rPr>
          <w:b w:val="0"/>
          <w:i w:val="0"/>
          <w:sz w:val="22"/>
          <w:szCs w:val="22"/>
        </w:rPr>
        <w:tab/>
        <w:t>Berlin, den ---</w:t>
      </w:r>
    </w:p>
    <w:p w:rsidR="0067597C" w:rsidRPr="0067597C" w:rsidRDefault="0067597C" w:rsidP="0067597C">
      <w:pPr>
        <w:pStyle w:val="berschrift2"/>
        <w:spacing w:before="0" w:after="0"/>
        <w:rPr>
          <w:b w:val="0"/>
          <w:i w:val="0"/>
          <w:sz w:val="22"/>
          <w:szCs w:val="22"/>
        </w:rPr>
      </w:pPr>
      <w:proofErr w:type="spellStart"/>
      <w:r w:rsidRPr="0067597C">
        <w:rPr>
          <w:b w:val="0"/>
          <w:i w:val="0"/>
          <w:sz w:val="22"/>
          <w:szCs w:val="22"/>
        </w:rPr>
        <w:t>Ref</w:t>
      </w:r>
      <w:proofErr w:type="spellEnd"/>
      <w:r w:rsidRPr="0067597C">
        <w:rPr>
          <w:b w:val="0"/>
          <w:i w:val="0"/>
          <w:sz w:val="22"/>
          <w:szCs w:val="22"/>
        </w:rPr>
        <w:t>. 1.4 – Landeskirchliches Archiv</w:t>
      </w:r>
    </w:p>
    <w:p w:rsidR="0067597C" w:rsidRPr="0067597C" w:rsidRDefault="0067597C" w:rsidP="0067597C">
      <w:pPr>
        <w:pStyle w:val="berschrift2"/>
        <w:spacing w:before="0" w:after="0"/>
        <w:rPr>
          <w:b w:val="0"/>
          <w:i w:val="0"/>
          <w:sz w:val="22"/>
          <w:szCs w:val="22"/>
        </w:rPr>
      </w:pPr>
    </w:p>
    <w:p w:rsidR="0067597C" w:rsidRPr="0067597C" w:rsidRDefault="0067597C" w:rsidP="0067597C">
      <w:pPr>
        <w:pStyle w:val="berschrift2"/>
        <w:spacing w:before="0" w:after="0"/>
        <w:rPr>
          <w:b w:val="0"/>
          <w:i w:val="0"/>
          <w:sz w:val="22"/>
          <w:szCs w:val="22"/>
        </w:rPr>
      </w:pPr>
    </w:p>
    <w:p w:rsidR="00993225" w:rsidRPr="0067597C" w:rsidRDefault="0067597C" w:rsidP="0067597C">
      <w:pPr>
        <w:pStyle w:val="berschrift2"/>
        <w:jc w:val="center"/>
        <w:rPr>
          <w:i w:val="0"/>
          <w:sz w:val="22"/>
          <w:szCs w:val="22"/>
        </w:rPr>
      </w:pPr>
      <w:r w:rsidRPr="0067597C">
        <w:rPr>
          <w:i w:val="0"/>
          <w:sz w:val="22"/>
          <w:szCs w:val="22"/>
        </w:rPr>
        <w:t xml:space="preserve">Arbeitshilfe zur Kassationsordnung - </w:t>
      </w:r>
      <w:bookmarkEnd w:id="0"/>
      <w:r w:rsidR="007B6D10" w:rsidRPr="0067597C">
        <w:rPr>
          <w:i w:val="0"/>
          <w:sz w:val="22"/>
          <w:szCs w:val="22"/>
        </w:rPr>
        <w:t>Bewertungsmodell Bauakten</w:t>
      </w:r>
    </w:p>
    <w:p w:rsidR="00993225" w:rsidRPr="0067597C" w:rsidRDefault="00993225">
      <w:pPr>
        <w:rPr>
          <w:rFonts w:ascii="Arial" w:hAnsi="Arial" w:cs="Arial"/>
          <w:sz w:val="22"/>
          <w:szCs w:val="22"/>
        </w:rPr>
      </w:pPr>
    </w:p>
    <w:p w:rsidR="00993225" w:rsidRPr="0067597C" w:rsidRDefault="00993225" w:rsidP="0067597C">
      <w:pPr>
        <w:jc w:val="both"/>
        <w:rPr>
          <w:rFonts w:ascii="Arial" w:hAnsi="Arial" w:cs="Arial"/>
          <w:sz w:val="22"/>
          <w:szCs w:val="22"/>
        </w:rPr>
      </w:pPr>
      <w:r w:rsidRPr="0067597C">
        <w:rPr>
          <w:rFonts w:ascii="Arial" w:hAnsi="Arial" w:cs="Arial"/>
          <w:sz w:val="22"/>
          <w:szCs w:val="22"/>
        </w:rPr>
        <w:t>Bei jeder Baumaßnahme fällt eine Fülle von Unterlagen an, die jedoch nur zu einem Teil langfristig oder dauerhaft aufbewahrt werden müssen. Da eine auf einzelne Unterlagen b</w:t>
      </w:r>
      <w:r w:rsidRPr="0067597C">
        <w:rPr>
          <w:rFonts w:ascii="Arial" w:hAnsi="Arial" w:cs="Arial"/>
          <w:sz w:val="22"/>
          <w:szCs w:val="22"/>
        </w:rPr>
        <w:t>e</w:t>
      </w:r>
      <w:r w:rsidRPr="0067597C">
        <w:rPr>
          <w:rFonts w:ascii="Arial" w:hAnsi="Arial" w:cs="Arial"/>
          <w:sz w:val="22"/>
          <w:szCs w:val="22"/>
        </w:rPr>
        <w:t>zogene Aussonderung und Kassation nicht durchführbar ist, sondern sich d</w:t>
      </w:r>
      <w:r w:rsidR="00C82C3F" w:rsidRPr="0067597C">
        <w:rPr>
          <w:rFonts w:ascii="Arial" w:hAnsi="Arial" w:cs="Arial"/>
          <w:sz w:val="22"/>
          <w:szCs w:val="22"/>
        </w:rPr>
        <w:t>i</w:t>
      </w:r>
      <w:r w:rsidRPr="0067597C">
        <w:rPr>
          <w:rFonts w:ascii="Arial" w:hAnsi="Arial" w:cs="Arial"/>
          <w:sz w:val="22"/>
          <w:szCs w:val="22"/>
        </w:rPr>
        <w:t>e Entscheidung zur Aufbewahrung oder Kassation immer auf ganze Akten bezieht, empfiehlt es sich, bereits bei der Entstehung der Akten nach der späteren Aufbewahrungs- bzw. Kassationsentsche</w:t>
      </w:r>
      <w:r w:rsidRPr="0067597C">
        <w:rPr>
          <w:rFonts w:ascii="Arial" w:hAnsi="Arial" w:cs="Arial"/>
          <w:sz w:val="22"/>
          <w:szCs w:val="22"/>
        </w:rPr>
        <w:t>i</w:t>
      </w:r>
      <w:r w:rsidRPr="0067597C">
        <w:rPr>
          <w:rFonts w:ascii="Arial" w:hAnsi="Arial" w:cs="Arial"/>
          <w:sz w:val="22"/>
          <w:szCs w:val="22"/>
        </w:rPr>
        <w:t>dung zu differenzieren. Diese Differenzierung kann durch eine entsprechende Unterglied</w:t>
      </w:r>
      <w:r w:rsidRPr="0067597C">
        <w:rPr>
          <w:rFonts w:ascii="Arial" w:hAnsi="Arial" w:cs="Arial"/>
          <w:sz w:val="22"/>
          <w:szCs w:val="22"/>
        </w:rPr>
        <w:t>e</w:t>
      </w:r>
      <w:r w:rsidRPr="0067597C">
        <w:rPr>
          <w:rFonts w:ascii="Arial" w:hAnsi="Arial" w:cs="Arial"/>
          <w:sz w:val="22"/>
          <w:szCs w:val="22"/>
        </w:rPr>
        <w:t>rung des Aktenplans unterstützt werden. Da es sich bei den Bauakten im Regelfall um stets gleichförmige Unterlagen handelt, kann die Zuordnung vom Bauherren oder seinem Beau</w:t>
      </w:r>
      <w:r w:rsidRPr="0067597C">
        <w:rPr>
          <w:rFonts w:ascii="Arial" w:hAnsi="Arial" w:cs="Arial"/>
          <w:sz w:val="22"/>
          <w:szCs w:val="22"/>
        </w:rPr>
        <w:t>f</w:t>
      </w:r>
      <w:r w:rsidRPr="0067597C">
        <w:rPr>
          <w:rFonts w:ascii="Arial" w:hAnsi="Arial" w:cs="Arial"/>
          <w:sz w:val="22"/>
          <w:szCs w:val="22"/>
        </w:rPr>
        <w:t>tragten regelhaft getroffen werden.</w:t>
      </w:r>
    </w:p>
    <w:p w:rsidR="00993225" w:rsidRPr="0067597C" w:rsidRDefault="00993225" w:rsidP="0067597C">
      <w:pPr>
        <w:jc w:val="both"/>
        <w:rPr>
          <w:rFonts w:ascii="Arial" w:hAnsi="Arial" w:cs="Arial"/>
          <w:sz w:val="22"/>
          <w:szCs w:val="22"/>
        </w:rPr>
      </w:pPr>
      <w:r w:rsidRPr="0067597C">
        <w:rPr>
          <w:rFonts w:ascii="Arial" w:hAnsi="Arial" w:cs="Arial"/>
          <w:sz w:val="22"/>
          <w:szCs w:val="22"/>
        </w:rPr>
        <w:t xml:space="preserve">Es empfiehlt sich daher schon bei Beginn der Baumaßnahme die archivwürdige Bau-Haupt- oder Grundakte von </w:t>
      </w:r>
      <w:proofErr w:type="gramStart"/>
      <w:r w:rsidRPr="0067597C">
        <w:rPr>
          <w:rFonts w:ascii="Arial" w:hAnsi="Arial" w:cs="Arial"/>
          <w:sz w:val="22"/>
          <w:szCs w:val="22"/>
        </w:rPr>
        <w:t>den</w:t>
      </w:r>
      <w:proofErr w:type="gramEnd"/>
      <w:r w:rsidRPr="0067597C">
        <w:rPr>
          <w:rFonts w:ascii="Arial" w:hAnsi="Arial" w:cs="Arial"/>
          <w:sz w:val="22"/>
          <w:szCs w:val="22"/>
        </w:rPr>
        <w:t xml:space="preserve"> nur befristet aufzubewahrenden Projektakten zu trennen. Gegeb</w:t>
      </w:r>
      <w:r w:rsidRPr="0067597C">
        <w:rPr>
          <w:rFonts w:ascii="Arial" w:hAnsi="Arial" w:cs="Arial"/>
          <w:sz w:val="22"/>
          <w:szCs w:val="22"/>
        </w:rPr>
        <w:t>e</w:t>
      </w:r>
      <w:r w:rsidRPr="0067597C">
        <w:rPr>
          <w:rFonts w:ascii="Arial" w:hAnsi="Arial" w:cs="Arial"/>
          <w:sz w:val="22"/>
          <w:szCs w:val="22"/>
        </w:rPr>
        <w:t>nenfalls kann auch eine gesonderte Bau-Rechnungsakte geführt werden. Dabei ist zu beac</w:t>
      </w:r>
      <w:r w:rsidRPr="0067597C">
        <w:rPr>
          <w:rFonts w:ascii="Arial" w:hAnsi="Arial" w:cs="Arial"/>
          <w:sz w:val="22"/>
          <w:szCs w:val="22"/>
        </w:rPr>
        <w:t>h</w:t>
      </w:r>
      <w:r w:rsidRPr="0067597C">
        <w:rPr>
          <w:rFonts w:ascii="Arial" w:hAnsi="Arial" w:cs="Arial"/>
          <w:sz w:val="22"/>
          <w:szCs w:val="22"/>
        </w:rPr>
        <w:t>ten, dass alle archivwürdigen Unterlagen im Original in der Hauptakte vorliegen müssen, in der Projektakte hingegen allenfalls in der Kopie, denn die Projektakte soll nach Ablauf der Aufbewahrungsfrist unbesehen kassiert werden können.</w:t>
      </w:r>
    </w:p>
    <w:p w:rsidR="00993225" w:rsidRPr="0067597C" w:rsidRDefault="00993225" w:rsidP="0067597C">
      <w:pPr>
        <w:jc w:val="both"/>
        <w:rPr>
          <w:rFonts w:ascii="Arial" w:hAnsi="Arial" w:cs="Arial"/>
          <w:sz w:val="22"/>
          <w:szCs w:val="22"/>
        </w:rPr>
      </w:pPr>
    </w:p>
    <w:p w:rsidR="00993225" w:rsidRPr="0067597C" w:rsidRDefault="00993225" w:rsidP="0067597C">
      <w:pPr>
        <w:jc w:val="both"/>
        <w:rPr>
          <w:rFonts w:ascii="Arial" w:hAnsi="Arial" w:cs="Arial"/>
          <w:b/>
          <w:sz w:val="22"/>
          <w:szCs w:val="22"/>
        </w:rPr>
      </w:pPr>
      <w:r w:rsidRPr="0067597C">
        <w:rPr>
          <w:rFonts w:ascii="Arial" w:hAnsi="Arial" w:cs="Arial"/>
          <w:b/>
          <w:sz w:val="22"/>
          <w:szCs w:val="22"/>
        </w:rPr>
        <w:t>1. Unterlagen für die Bau-Hauptakte (archivwürdig)</w:t>
      </w:r>
    </w:p>
    <w:p w:rsidR="00993225" w:rsidRPr="0067597C" w:rsidRDefault="00993225" w:rsidP="0067597C">
      <w:pPr>
        <w:numPr>
          <w:ilvl w:val="0"/>
          <w:numId w:val="2"/>
        </w:numPr>
        <w:jc w:val="both"/>
        <w:rPr>
          <w:rFonts w:ascii="Arial" w:hAnsi="Arial" w:cs="Arial"/>
          <w:sz w:val="22"/>
          <w:szCs w:val="22"/>
        </w:rPr>
      </w:pPr>
      <w:r w:rsidRPr="0067597C">
        <w:rPr>
          <w:rFonts w:ascii="Arial" w:hAnsi="Arial" w:cs="Arial"/>
          <w:sz w:val="22"/>
          <w:szCs w:val="22"/>
        </w:rPr>
        <w:t>Beschluss der zuständigen Gremien über Durchführung der Baumaßnahme und B</w:t>
      </w:r>
      <w:r w:rsidRPr="0067597C">
        <w:rPr>
          <w:rFonts w:ascii="Arial" w:hAnsi="Arial" w:cs="Arial"/>
          <w:sz w:val="22"/>
          <w:szCs w:val="22"/>
        </w:rPr>
        <w:t>e</w:t>
      </w:r>
      <w:r w:rsidRPr="0067597C">
        <w:rPr>
          <w:rFonts w:ascii="Arial" w:hAnsi="Arial" w:cs="Arial"/>
          <w:sz w:val="22"/>
          <w:szCs w:val="22"/>
        </w:rPr>
        <w:t>willigung der Mittel, ggf. Genehmigung des Finanzierungsplans durch vorgesetzte Behörde (einschl. der Begründung der Baumaßnahme)</w:t>
      </w:r>
    </w:p>
    <w:p w:rsidR="00993225" w:rsidRPr="0067597C" w:rsidRDefault="00993225" w:rsidP="0067597C">
      <w:pPr>
        <w:numPr>
          <w:ilvl w:val="0"/>
          <w:numId w:val="2"/>
        </w:numPr>
        <w:jc w:val="both"/>
        <w:rPr>
          <w:rFonts w:ascii="Arial" w:hAnsi="Arial" w:cs="Arial"/>
          <w:sz w:val="22"/>
          <w:szCs w:val="22"/>
        </w:rPr>
      </w:pPr>
      <w:r w:rsidRPr="0067597C">
        <w:rPr>
          <w:rFonts w:ascii="Arial" w:hAnsi="Arial" w:cs="Arial"/>
          <w:sz w:val="22"/>
          <w:szCs w:val="22"/>
        </w:rPr>
        <w:t>Evtl. Protokolle des Bauausschusses bzw. der Bauko</w:t>
      </w:r>
      <w:r w:rsidR="00C944A8" w:rsidRPr="0067597C">
        <w:rPr>
          <w:rFonts w:ascii="Arial" w:hAnsi="Arial" w:cs="Arial"/>
          <w:sz w:val="22"/>
          <w:szCs w:val="22"/>
        </w:rPr>
        <w:t>mmission, soweit sie den Bau be</w:t>
      </w:r>
      <w:r w:rsidRPr="0067597C">
        <w:rPr>
          <w:rFonts w:ascii="Arial" w:hAnsi="Arial" w:cs="Arial"/>
          <w:sz w:val="22"/>
          <w:szCs w:val="22"/>
        </w:rPr>
        <w:t>treffen</w:t>
      </w:r>
    </w:p>
    <w:p w:rsidR="00993225" w:rsidRPr="0067597C" w:rsidRDefault="00993225" w:rsidP="0067597C">
      <w:pPr>
        <w:numPr>
          <w:ilvl w:val="0"/>
          <w:numId w:val="2"/>
        </w:numPr>
        <w:jc w:val="both"/>
        <w:rPr>
          <w:rFonts w:ascii="Arial" w:hAnsi="Arial" w:cs="Arial"/>
          <w:sz w:val="22"/>
          <w:szCs w:val="22"/>
        </w:rPr>
      </w:pPr>
      <w:r w:rsidRPr="0067597C">
        <w:rPr>
          <w:rFonts w:ascii="Arial" w:hAnsi="Arial" w:cs="Arial"/>
          <w:sz w:val="22"/>
          <w:szCs w:val="22"/>
        </w:rPr>
        <w:t>Endfassung der Planungsunterlagen bzw. des Maßnahmenkatalogs (Ausschre</w:t>
      </w:r>
      <w:r w:rsidRPr="0067597C">
        <w:rPr>
          <w:rFonts w:ascii="Arial" w:hAnsi="Arial" w:cs="Arial"/>
          <w:sz w:val="22"/>
          <w:szCs w:val="22"/>
        </w:rPr>
        <w:t>i</w:t>
      </w:r>
      <w:r w:rsidRPr="0067597C">
        <w:rPr>
          <w:rFonts w:ascii="Arial" w:hAnsi="Arial" w:cs="Arial"/>
          <w:sz w:val="22"/>
          <w:szCs w:val="22"/>
        </w:rPr>
        <w:t>bungsunterlagen)</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Bauantrag und Erteilung der Baugenehmigung</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Gutachten, die für die Baudurchführung dauerhaft wichtig sind (z.B. Bodengutachten; Gutachten über Baumaterialien und Bauausführung, gesetzliche Auflagen)</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 xml:space="preserve">Denkmalschutzrechtliche Genehmigung </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Kosten-Voranschlag und Auftragserteilung mit Verträgen</w:t>
      </w:r>
      <w:r w:rsidR="00C944A8" w:rsidRPr="0067597C">
        <w:rPr>
          <w:rFonts w:ascii="Arial" w:hAnsi="Arial" w:cs="Arial"/>
          <w:sz w:val="22"/>
          <w:szCs w:val="22"/>
        </w:rPr>
        <w:t xml:space="preserve"> (Vergabeverträge); ggf. Li</w:t>
      </w:r>
      <w:r w:rsidR="00C944A8" w:rsidRPr="0067597C">
        <w:rPr>
          <w:rFonts w:ascii="Arial" w:hAnsi="Arial" w:cs="Arial"/>
          <w:sz w:val="22"/>
          <w:szCs w:val="22"/>
        </w:rPr>
        <w:t>s</w:t>
      </w:r>
      <w:r w:rsidR="00C944A8" w:rsidRPr="0067597C">
        <w:rPr>
          <w:rFonts w:ascii="Arial" w:hAnsi="Arial" w:cs="Arial"/>
          <w:sz w:val="22"/>
          <w:szCs w:val="22"/>
        </w:rPr>
        <w:t>te der Subunternehmer</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Berechnungen der/Angaben zur Statik</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Planunterlagen (in der Endfassung); Dokumentation nachträglicher Veränderungen an den Plänen (bzw. Verweis auf Planunterlagen im Planarchiv oder in Datenbank)</w:t>
      </w:r>
      <w:r w:rsidR="001E2ACA" w:rsidRPr="0067597C">
        <w:rPr>
          <w:rFonts w:ascii="Arial" w:hAnsi="Arial" w:cs="Arial"/>
          <w:sz w:val="22"/>
          <w:szCs w:val="22"/>
        </w:rPr>
        <w:t>; bei Wettbewerben auch die Wettbewerbsbeiträge bzw. deren Dokumentation (ggf. Sonderakte)</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Unterlagen über funktionale, architektonische, künstlerische Konzepte und Ideen</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Dokumentation der Baumaßnahme (Meilensteine, Abnahmen, Fotodokumentation bzw. Verweis darauf im Fotoarchiv)</w:t>
      </w:r>
    </w:p>
    <w:p w:rsidR="00993225" w:rsidRPr="0067597C" w:rsidRDefault="00C944A8" w:rsidP="0067597C">
      <w:pPr>
        <w:numPr>
          <w:ilvl w:val="0"/>
          <w:numId w:val="1"/>
        </w:numPr>
        <w:jc w:val="both"/>
        <w:rPr>
          <w:rFonts w:ascii="Arial" w:hAnsi="Arial" w:cs="Arial"/>
          <w:sz w:val="22"/>
          <w:szCs w:val="22"/>
        </w:rPr>
      </w:pPr>
      <w:r w:rsidRPr="0067597C">
        <w:rPr>
          <w:rFonts w:ascii="Arial" w:hAnsi="Arial" w:cs="Arial"/>
          <w:sz w:val="22"/>
          <w:szCs w:val="22"/>
        </w:rPr>
        <w:t xml:space="preserve">Protokoll der Bauabnahme, </w:t>
      </w:r>
      <w:r w:rsidR="00993225" w:rsidRPr="0067597C">
        <w:rPr>
          <w:rFonts w:ascii="Arial" w:hAnsi="Arial" w:cs="Arial"/>
          <w:sz w:val="22"/>
          <w:szCs w:val="22"/>
        </w:rPr>
        <w:t>Gewährleistungsliste</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Endabrechnung, Kostenfeststellung</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Wertermittlung</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Begründung und Beschlussfassung über Namensgebung des Gebäudes (Protoko</w:t>
      </w:r>
      <w:r w:rsidRPr="0067597C">
        <w:rPr>
          <w:rFonts w:ascii="Arial" w:hAnsi="Arial" w:cs="Arial"/>
          <w:sz w:val="22"/>
          <w:szCs w:val="22"/>
        </w:rPr>
        <w:t>l</w:t>
      </w:r>
      <w:r w:rsidRPr="0067597C">
        <w:rPr>
          <w:rFonts w:ascii="Arial" w:hAnsi="Arial" w:cs="Arial"/>
          <w:sz w:val="22"/>
          <w:szCs w:val="22"/>
        </w:rPr>
        <w:t>lauszug)</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Dokumentation der Grundsteinlegung bzw. der Einweihung (s. Fotodokumentation; Festschrift)</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 xml:space="preserve">Protokolle der Baubereisungen des Kirchenbauamts bzw. der Baubegehungen </w:t>
      </w:r>
    </w:p>
    <w:p w:rsidR="001E2ACA" w:rsidRPr="0067597C" w:rsidRDefault="001E2ACA" w:rsidP="0067597C">
      <w:pPr>
        <w:numPr>
          <w:ilvl w:val="0"/>
          <w:numId w:val="1"/>
        </w:numPr>
        <w:jc w:val="both"/>
        <w:rPr>
          <w:rFonts w:ascii="Arial" w:hAnsi="Arial" w:cs="Arial"/>
          <w:sz w:val="22"/>
          <w:szCs w:val="22"/>
        </w:rPr>
      </w:pPr>
      <w:r w:rsidRPr="0067597C">
        <w:rPr>
          <w:rFonts w:ascii="Arial" w:hAnsi="Arial" w:cs="Arial"/>
          <w:sz w:val="22"/>
          <w:szCs w:val="22"/>
        </w:rPr>
        <w:t>Unterlagen zu besonderen Einrichtungsgegenständen, Ausstattung, Kunst (ggf. in Sonderakte)</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Bau-Stammblatt, soweit vorhanden</w:t>
      </w:r>
    </w:p>
    <w:p w:rsidR="00993225" w:rsidRPr="0067597C" w:rsidRDefault="00993225" w:rsidP="0067597C">
      <w:pPr>
        <w:jc w:val="both"/>
        <w:rPr>
          <w:rFonts w:ascii="Arial" w:hAnsi="Arial" w:cs="Arial"/>
          <w:sz w:val="22"/>
          <w:szCs w:val="22"/>
        </w:rPr>
      </w:pPr>
    </w:p>
    <w:p w:rsidR="00993225" w:rsidRPr="0067597C" w:rsidRDefault="00993225" w:rsidP="0067597C">
      <w:pPr>
        <w:jc w:val="both"/>
        <w:rPr>
          <w:rFonts w:ascii="Arial" w:hAnsi="Arial" w:cs="Arial"/>
          <w:b/>
          <w:sz w:val="22"/>
          <w:szCs w:val="22"/>
        </w:rPr>
      </w:pPr>
      <w:r w:rsidRPr="0067597C">
        <w:rPr>
          <w:rFonts w:ascii="Arial" w:hAnsi="Arial" w:cs="Arial"/>
          <w:b/>
          <w:sz w:val="22"/>
          <w:szCs w:val="22"/>
        </w:rPr>
        <w:t>2. Baurechnungsakte (i.d.R. archivwürdig)</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Kopie der Endabrechnung, Kostenfeststellung</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Abrechnungen geordnet nach Leistungsziffern und Gewerken</w:t>
      </w:r>
    </w:p>
    <w:p w:rsidR="00993225" w:rsidRPr="0067597C" w:rsidRDefault="00993225" w:rsidP="0067597C">
      <w:pPr>
        <w:jc w:val="both"/>
        <w:rPr>
          <w:rFonts w:ascii="Arial" w:hAnsi="Arial" w:cs="Arial"/>
          <w:sz w:val="22"/>
          <w:szCs w:val="22"/>
        </w:rPr>
      </w:pPr>
    </w:p>
    <w:p w:rsidR="00993225" w:rsidRPr="0067597C" w:rsidRDefault="00993225" w:rsidP="0067597C">
      <w:pPr>
        <w:jc w:val="both"/>
        <w:rPr>
          <w:rFonts w:ascii="Arial" w:hAnsi="Arial" w:cs="Arial"/>
          <w:b/>
          <w:sz w:val="22"/>
          <w:szCs w:val="22"/>
        </w:rPr>
      </w:pPr>
      <w:r w:rsidRPr="0067597C">
        <w:rPr>
          <w:rFonts w:ascii="Arial" w:hAnsi="Arial" w:cs="Arial"/>
          <w:b/>
          <w:sz w:val="22"/>
          <w:szCs w:val="22"/>
        </w:rPr>
        <w:t>3. Projektakten (befristet aufzubewahren</w:t>
      </w:r>
      <w:r w:rsidR="001E2ACA" w:rsidRPr="0067597C">
        <w:rPr>
          <w:rFonts w:ascii="Arial" w:hAnsi="Arial" w:cs="Arial"/>
          <w:b/>
          <w:sz w:val="22"/>
          <w:szCs w:val="22"/>
        </w:rPr>
        <w:t xml:space="preserve"> </w:t>
      </w:r>
      <w:r w:rsidRPr="0067597C">
        <w:rPr>
          <w:rFonts w:ascii="Arial" w:hAnsi="Arial" w:cs="Arial"/>
          <w:b/>
          <w:sz w:val="22"/>
          <w:szCs w:val="22"/>
        </w:rPr>
        <w:t xml:space="preserve">für die Dauer der </w:t>
      </w:r>
      <w:r w:rsidR="001E2ACA" w:rsidRPr="0067597C">
        <w:rPr>
          <w:rFonts w:ascii="Arial" w:hAnsi="Arial" w:cs="Arial"/>
          <w:b/>
          <w:sz w:val="22"/>
          <w:szCs w:val="22"/>
        </w:rPr>
        <w:t>Gewährleistung</w:t>
      </w:r>
      <w:r w:rsidRPr="0067597C">
        <w:rPr>
          <w:rFonts w:ascii="Arial" w:hAnsi="Arial" w:cs="Arial"/>
          <w:b/>
          <w:sz w:val="22"/>
          <w:szCs w:val="22"/>
        </w:rPr>
        <w:t>)</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Nicht berücksichtige Angebote</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Gutachten und Empfehlungen im Vorfeld des Genehmigungsverfahrens, die der B</w:t>
      </w:r>
      <w:r w:rsidRPr="0067597C">
        <w:rPr>
          <w:rFonts w:ascii="Arial" w:hAnsi="Arial" w:cs="Arial"/>
          <w:sz w:val="22"/>
          <w:szCs w:val="22"/>
        </w:rPr>
        <w:t>e</w:t>
      </w:r>
      <w:r w:rsidRPr="0067597C">
        <w:rPr>
          <w:rFonts w:ascii="Arial" w:hAnsi="Arial" w:cs="Arial"/>
          <w:sz w:val="22"/>
          <w:szCs w:val="22"/>
        </w:rPr>
        <w:t>ratung dienten und die nicht von dauerhafter Bedeutung sind (Brandschutz, Arbeit</w:t>
      </w:r>
      <w:r w:rsidRPr="0067597C">
        <w:rPr>
          <w:rFonts w:ascii="Arial" w:hAnsi="Arial" w:cs="Arial"/>
          <w:sz w:val="22"/>
          <w:szCs w:val="22"/>
        </w:rPr>
        <w:t>s</w:t>
      </w:r>
      <w:r w:rsidRPr="0067597C">
        <w:rPr>
          <w:rFonts w:ascii="Arial" w:hAnsi="Arial" w:cs="Arial"/>
          <w:sz w:val="22"/>
          <w:szCs w:val="22"/>
        </w:rPr>
        <w:t>schutz ...)</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Schriftverkehr mit Architekten und Bauunternehmer etc.</w:t>
      </w:r>
    </w:p>
    <w:p w:rsidR="001E2ACA" w:rsidRPr="0067597C" w:rsidRDefault="001E2ACA" w:rsidP="0067597C">
      <w:pPr>
        <w:numPr>
          <w:ilvl w:val="0"/>
          <w:numId w:val="1"/>
        </w:numPr>
        <w:jc w:val="both"/>
        <w:rPr>
          <w:rFonts w:ascii="Arial" w:hAnsi="Arial" w:cs="Arial"/>
          <w:sz w:val="22"/>
          <w:szCs w:val="22"/>
        </w:rPr>
      </w:pPr>
      <w:r w:rsidRPr="0067597C">
        <w:rPr>
          <w:rFonts w:ascii="Arial" w:hAnsi="Arial" w:cs="Arial"/>
          <w:sz w:val="22"/>
          <w:szCs w:val="22"/>
        </w:rPr>
        <w:t>Allg. Schriftverkehr mit Nachbarn, Firmen etc.; allg. Informationen</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Protokolle der Termine zwischen Bauherr</w:t>
      </w:r>
      <w:r w:rsidR="001E2ACA" w:rsidRPr="0067597C">
        <w:rPr>
          <w:rFonts w:ascii="Arial" w:hAnsi="Arial" w:cs="Arial"/>
          <w:sz w:val="22"/>
          <w:szCs w:val="22"/>
        </w:rPr>
        <w:t>i</w:t>
      </w:r>
      <w:r w:rsidRPr="0067597C">
        <w:rPr>
          <w:rFonts w:ascii="Arial" w:hAnsi="Arial" w:cs="Arial"/>
          <w:sz w:val="22"/>
          <w:szCs w:val="22"/>
        </w:rPr>
        <w:t>n und Bauleitung</w:t>
      </w:r>
      <w:r w:rsidR="001E2ACA" w:rsidRPr="0067597C">
        <w:rPr>
          <w:rFonts w:ascii="Arial" w:hAnsi="Arial" w:cs="Arial"/>
          <w:sz w:val="22"/>
          <w:szCs w:val="22"/>
        </w:rPr>
        <w:t xml:space="preserve"> (Planungsbesprechu</w:t>
      </w:r>
      <w:r w:rsidR="001E2ACA" w:rsidRPr="0067597C">
        <w:rPr>
          <w:rFonts w:ascii="Arial" w:hAnsi="Arial" w:cs="Arial"/>
          <w:sz w:val="22"/>
          <w:szCs w:val="22"/>
        </w:rPr>
        <w:t>n</w:t>
      </w:r>
      <w:r w:rsidR="001E2ACA" w:rsidRPr="0067597C">
        <w:rPr>
          <w:rFonts w:ascii="Arial" w:hAnsi="Arial" w:cs="Arial"/>
          <w:sz w:val="22"/>
          <w:szCs w:val="22"/>
        </w:rPr>
        <w:t>gen, Baubegehungen etc.)</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 xml:space="preserve">Vorbereitender Schriftverkehr mit Fachingenieuren, Stadt/Kreis, Landesdenkmalamt etc. </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Kostenkontrolle, Termine, Pläne, Planentwürfe</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Gewerke, auch Verträge über Submission etc.</w:t>
      </w:r>
    </w:p>
    <w:p w:rsidR="001E2ACA" w:rsidRPr="0067597C" w:rsidRDefault="001E2ACA" w:rsidP="0067597C">
      <w:pPr>
        <w:numPr>
          <w:ilvl w:val="0"/>
          <w:numId w:val="1"/>
        </w:numPr>
        <w:jc w:val="both"/>
        <w:rPr>
          <w:rFonts w:ascii="Arial" w:hAnsi="Arial" w:cs="Arial"/>
          <w:sz w:val="22"/>
          <w:szCs w:val="22"/>
        </w:rPr>
      </w:pPr>
      <w:r w:rsidRPr="0067597C">
        <w:rPr>
          <w:rFonts w:ascii="Arial" w:hAnsi="Arial" w:cs="Arial"/>
          <w:sz w:val="22"/>
          <w:szCs w:val="22"/>
        </w:rPr>
        <w:t>Mängellisten (bis zur Behebung oder bis zur Beilegung eines Rechtsstreits)</w:t>
      </w:r>
    </w:p>
    <w:p w:rsidR="00993225" w:rsidRPr="0067597C" w:rsidRDefault="00993225" w:rsidP="0067597C">
      <w:pPr>
        <w:jc w:val="both"/>
        <w:rPr>
          <w:rFonts w:ascii="Arial" w:hAnsi="Arial" w:cs="Arial"/>
          <w:sz w:val="22"/>
          <w:szCs w:val="22"/>
        </w:rPr>
      </w:pPr>
    </w:p>
    <w:p w:rsidR="001E2ACA" w:rsidRPr="0067597C" w:rsidRDefault="001E2ACA" w:rsidP="0067597C">
      <w:pPr>
        <w:jc w:val="both"/>
        <w:rPr>
          <w:rFonts w:ascii="Arial" w:hAnsi="Arial" w:cs="Arial"/>
          <w:b/>
          <w:sz w:val="22"/>
          <w:szCs w:val="22"/>
        </w:rPr>
      </w:pPr>
      <w:r w:rsidRPr="0067597C">
        <w:rPr>
          <w:rFonts w:ascii="Arial" w:hAnsi="Arial" w:cs="Arial"/>
          <w:b/>
          <w:sz w:val="22"/>
          <w:szCs w:val="22"/>
        </w:rPr>
        <w:t>4. Bauunterhaltung (befristet aufzubewahren; bei größeren Baumaßnahmen, Umba</w:t>
      </w:r>
      <w:r w:rsidRPr="0067597C">
        <w:rPr>
          <w:rFonts w:ascii="Arial" w:hAnsi="Arial" w:cs="Arial"/>
          <w:b/>
          <w:sz w:val="22"/>
          <w:szCs w:val="22"/>
        </w:rPr>
        <w:t>u</w:t>
      </w:r>
      <w:r w:rsidRPr="0067597C">
        <w:rPr>
          <w:rFonts w:ascii="Arial" w:hAnsi="Arial" w:cs="Arial"/>
          <w:b/>
          <w:sz w:val="22"/>
          <w:szCs w:val="22"/>
        </w:rPr>
        <w:t>ten etc. gelten die Bestimmungen der Hauptakte)</w:t>
      </w:r>
    </w:p>
    <w:p w:rsidR="001E2ACA" w:rsidRPr="0067597C" w:rsidRDefault="001E2ACA" w:rsidP="0067597C">
      <w:pPr>
        <w:jc w:val="both"/>
        <w:rPr>
          <w:rFonts w:ascii="Arial" w:hAnsi="Arial" w:cs="Arial"/>
          <w:sz w:val="22"/>
          <w:szCs w:val="22"/>
        </w:rPr>
      </w:pPr>
      <w:r w:rsidRPr="0067597C">
        <w:rPr>
          <w:rFonts w:ascii="Arial" w:hAnsi="Arial" w:cs="Arial"/>
          <w:sz w:val="22"/>
          <w:szCs w:val="22"/>
        </w:rPr>
        <w:t>Darin u.a.:</w:t>
      </w:r>
    </w:p>
    <w:p w:rsidR="001E2ACA" w:rsidRPr="0067597C" w:rsidRDefault="001E2ACA" w:rsidP="0067597C">
      <w:pPr>
        <w:numPr>
          <w:ilvl w:val="0"/>
          <w:numId w:val="1"/>
        </w:numPr>
        <w:jc w:val="both"/>
        <w:rPr>
          <w:rFonts w:ascii="Arial" w:hAnsi="Arial" w:cs="Arial"/>
          <w:sz w:val="22"/>
          <w:szCs w:val="22"/>
        </w:rPr>
      </w:pPr>
      <w:r w:rsidRPr="0067597C">
        <w:rPr>
          <w:rFonts w:ascii="Arial" w:hAnsi="Arial" w:cs="Arial"/>
          <w:sz w:val="22"/>
          <w:szCs w:val="22"/>
        </w:rPr>
        <w:t>Reinigung</w:t>
      </w:r>
    </w:p>
    <w:p w:rsidR="001E2ACA" w:rsidRPr="0067597C" w:rsidRDefault="001E2ACA" w:rsidP="0067597C">
      <w:pPr>
        <w:numPr>
          <w:ilvl w:val="0"/>
          <w:numId w:val="1"/>
        </w:numPr>
        <w:jc w:val="both"/>
        <w:rPr>
          <w:rFonts w:ascii="Arial" w:hAnsi="Arial" w:cs="Arial"/>
          <w:sz w:val="22"/>
          <w:szCs w:val="22"/>
        </w:rPr>
      </w:pPr>
      <w:r w:rsidRPr="0067597C">
        <w:rPr>
          <w:rFonts w:ascii="Arial" w:hAnsi="Arial" w:cs="Arial"/>
          <w:sz w:val="22"/>
          <w:szCs w:val="22"/>
        </w:rPr>
        <w:t>Wartung</w:t>
      </w:r>
    </w:p>
    <w:p w:rsidR="001E2ACA" w:rsidRPr="0067597C" w:rsidRDefault="001E2ACA" w:rsidP="0067597C">
      <w:pPr>
        <w:numPr>
          <w:ilvl w:val="0"/>
          <w:numId w:val="1"/>
        </w:numPr>
        <w:jc w:val="both"/>
        <w:rPr>
          <w:rFonts w:ascii="Arial" w:hAnsi="Arial" w:cs="Arial"/>
          <w:sz w:val="22"/>
          <w:szCs w:val="22"/>
        </w:rPr>
      </w:pPr>
      <w:r w:rsidRPr="0067597C">
        <w:rPr>
          <w:rFonts w:ascii="Arial" w:hAnsi="Arial" w:cs="Arial"/>
          <w:sz w:val="22"/>
          <w:szCs w:val="22"/>
        </w:rPr>
        <w:t>Re</w:t>
      </w:r>
      <w:r w:rsidR="00993225" w:rsidRPr="0067597C">
        <w:rPr>
          <w:rFonts w:ascii="Arial" w:hAnsi="Arial" w:cs="Arial"/>
          <w:sz w:val="22"/>
          <w:szCs w:val="22"/>
        </w:rPr>
        <w:t>p</w:t>
      </w:r>
      <w:r w:rsidRPr="0067597C">
        <w:rPr>
          <w:rFonts w:ascii="Arial" w:hAnsi="Arial" w:cs="Arial"/>
          <w:sz w:val="22"/>
          <w:szCs w:val="22"/>
        </w:rPr>
        <w:t>araturen</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Vermietungen</w:t>
      </w:r>
    </w:p>
    <w:p w:rsidR="00993225" w:rsidRPr="0067597C" w:rsidRDefault="00993225" w:rsidP="0067597C">
      <w:pPr>
        <w:numPr>
          <w:ilvl w:val="0"/>
          <w:numId w:val="1"/>
        </w:numPr>
        <w:jc w:val="both"/>
        <w:rPr>
          <w:rFonts w:ascii="Arial" w:hAnsi="Arial" w:cs="Arial"/>
          <w:sz w:val="22"/>
          <w:szCs w:val="22"/>
        </w:rPr>
      </w:pPr>
      <w:r w:rsidRPr="0067597C">
        <w:rPr>
          <w:rFonts w:ascii="Arial" w:hAnsi="Arial" w:cs="Arial"/>
          <w:sz w:val="22"/>
          <w:szCs w:val="22"/>
        </w:rPr>
        <w:t>Rechnungsbelege</w:t>
      </w:r>
    </w:p>
    <w:p w:rsidR="00993225" w:rsidRPr="0067597C" w:rsidRDefault="00993225" w:rsidP="0067597C">
      <w:pPr>
        <w:jc w:val="both"/>
        <w:rPr>
          <w:rFonts w:ascii="Arial" w:hAnsi="Arial" w:cs="Arial"/>
          <w:sz w:val="22"/>
          <w:szCs w:val="22"/>
        </w:rPr>
      </w:pPr>
    </w:p>
    <w:p w:rsidR="00993225" w:rsidRPr="0067597C" w:rsidRDefault="00993225" w:rsidP="0067597C">
      <w:pPr>
        <w:jc w:val="both"/>
        <w:rPr>
          <w:rFonts w:ascii="Arial" w:hAnsi="Arial" w:cs="Arial"/>
          <w:sz w:val="22"/>
          <w:szCs w:val="22"/>
        </w:rPr>
      </w:pPr>
    </w:p>
    <w:sectPr w:rsidR="00993225" w:rsidRPr="006759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66C"/>
    <w:multiLevelType w:val="hybridMultilevel"/>
    <w:tmpl w:val="92228D64"/>
    <w:lvl w:ilvl="0" w:tplc="A6BE724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86B7FEB"/>
    <w:multiLevelType w:val="hybridMultilevel"/>
    <w:tmpl w:val="6C9C1E36"/>
    <w:lvl w:ilvl="0" w:tplc="5A12DE4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6F"/>
    <w:rsid w:val="001E2ACA"/>
    <w:rsid w:val="0067597C"/>
    <w:rsid w:val="007B6D10"/>
    <w:rsid w:val="00993225"/>
    <w:rsid w:val="00BC24C0"/>
    <w:rsid w:val="00C82C3F"/>
    <w:rsid w:val="00C944A8"/>
    <w:rsid w:val="00CD6A35"/>
    <w:rsid w:val="00F06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Bauakten</vt:lpstr>
    </vt:vector>
  </TitlesOfParts>
  <Company>Privat</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Bauakten</dc:title>
  <dc:creator>Udo Wennemuth</dc:creator>
  <cp:lastModifiedBy>Administrator</cp:lastModifiedBy>
  <cp:revision>2</cp:revision>
  <cp:lastPrinted>2009-03-02T12:51:00Z</cp:lastPrinted>
  <dcterms:created xsi:type="dcterms:W3CDTF">2017-04-02T19:13:00Z</dcterms:created>
  <dcterms:modified xsi:type="dcterms:W3CDTF">2017-04-02T19:13:00Z</dcterms:modified>
</cp:coreProperties>
</file>